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Layout w:type="fixed"/>
        <w:tblCellMar>
          <w:left w:w="10" w:type="dxa"/>
          <w:right w:w="10" w:type="dxa"/>
        </w:tblCellMar>
        <w:tblLook w:val="04A0"/>
      </w:tblPr>
      <w:tblGrid>
        <w:gridCol w:w="3618"/>
        <w:gridCol w:w="6027"/>
      </w:tblGrid>
      <w:tr w:rsidR="003D2760" w:rsidRPr="00450FAA" w:rsidTr="003D2760">
        <w:tc>
          <w:tcPr>
            <w:tcW w:w="964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D2760" w:rsidRPr="00450FAA" w:rsidRDefault="003D2760">
            <w:pPr>
              <w:jc w:val="center"/>
              <w:rPr>
                <w:rFonts w:ascii="Calibri" w:hAnsi="Calibri" w:cs="Arial"/>
                <w:b/>
                <w:bCs/>
                <w:sz w:val="22"/>
                <w:szCs w:val="22"/>
              </w:rPr>
            </w:pPr>
          </w:p>
          <w:p w:rsidR="003D2760" w:rsidRPr="00450FAA" w:rsidRDefault="003D2760">
            <w:pPr>
              <w:jc w:val="center"/>
              <w:rPr>
                <w:rFonts w:ascii="Calibri" w:hAnsi="Calibri" w:cs="Arial"/>
                <w:b/>
                <w:bCs/>
                <w:sz w:val="22"/>
                <w:szCs w:val="22"/>
              </w:rPr>
            </w:pPr>
            <w:r w:rsidRPr="00450FAA">
              <w:rPr>
                <w:rFonts w:ascii="Calibri" w:hAnsi="Calibri" w:cs="Arial"/>
                <w:b/>
                <w:bCs/>
                <w:sz w:val="22"/>
                <w:szCs w:val="22"/>
              </w:rPr>
              <w:t>Patienteninformation zur Erhebung personenbezogener Daten</w:t>
            </w:r>
          </w:p>
          <w:p w:rsidR="003D2760" w:rsidRPr="00450FAA" w:rsidRDefault="003D2760">
            <w:pPr>
              <w:jc w:val="center"/>
              <w:rPr>
                <w:rFonts w:ascii="Calibri" w:hAnsi="Calibri" w:cs="Arial"/>
                <w:b/>
                <w:bCs/>
                <w:sz w:val="22"/>
                <w:szCs w:val="22"/>
              </w:rPr>
            </w:pPr>
            <w:r w:rsidRPr="00450FAA">
              <w:rPr>
                <w:rFonts w:ascii="Calibri" w:hAnsi="Calibri" w:cs="Arial"/>
                <w:b/>
                <w:bCs/>
                <w:sz w:val="22"/>
                <w:szCs w:val="22"/>
              </w:rPr>
              <w:t>im Rahmen der zahnärztlichen Behandlung</w:t>
            </w:r>
          </w:p>
          <w:p w:rsidR="003D2760" w:rsidRPr="00450FAA" w:rsidRDefault="003D2760">
            <w:pPr>
              <w:jc w:val="center"/>
              <w:rPr>
                <w:rFonts w:ascii="Calibri" w:hAnsi="Calibri" w:cs="Arial"/>
                <w:b/>
                <w:bCs/>
                <w:sz w:val="22"/>
                <w:szCs w:val="22"/>
              </w:rPr>
            </w:pPr>
          </w:p>
        </w:tc>
      </w:tr>
      <w:tr w:rsidR="003D2760" w:rsidRPr="00450FAA" w:rsidTr="003D2760">
        <w:tc>
          <w:tcPr>
            <w:tcW w:w="3618" w:type="dxa"/>
            <w:tcBorders>
              <w:top w:val="nil"/>
              <w:left w:val="single" w:sz="2" w:space="0" w:color="000000"/>
              <w:bottom w:val="single" w:sz="2" w:space="0" w:color="000000"/>
              <w:right w:val="nil"/>
            </w:tcBorders>
            <w:tcMar>
              <w:top w:w="55" w:type="dxa"/>
              <w:left w:w="55" w:type="dxa"/>
              <w:bottom w:w="55" w:type="dxa"/>
              <w:right w:w="55" w:type="dxa"/>
            </w:tcMar>
            <w:hideMark/>
          </w:tcPr>
          <w:p w:rsidR="003D2760" w:rsidRPr="00450FAA" w:rsidRDefault="003D2760">
            <w:pPr>
              <w:rPr>
                <w:rFonts w:ascii="Calibri" w:hAnsi="Calibri" w:cs="Arial"/>
                <w:sz w:val="22"/>
                <w:szCs w:val="22"/>
              </w:rPr>
            </w:pPr>
            <w:r w:rsidRPr="00450FAA">
              <w:rPr>
                <w:rFonts w:ascii="Calibri" w:hAnsi="Calibri" w:cs="Arial"/>
                <w:sz w:val="22"/>
                <w:szCs w:val="22"/>
              </w:rPr>
              <w:t>1. Name und Kontaktdaten des Verantwortlichen und ggf. Vertreters</w:t>
            </w:r>
          </w:p>
        </w:tc>
        <w:tc>
          <w:tcPr>
            <w:tcW w:w="6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D2760" w:rsidRPr="00450FAA" w:rsidRDefault="003D2760" w:rsidP="003D2760">
            <w:pPr>
              <w:pStyle w:val="TableContents"/>
              <w:rPr>
                <w:rFonts w:ascii="Calibri" w:hAnsi="Calibri"/>
                <w:sz w:val="22"/>
                <w:szCs w:val="22"/>
              </w:rPr>
            </w:pPr>
            <w:r w:rsidRPr="00450FAA">
              <w:rPr>
                <w:rFonts w:ascii="Calibri" w:hAnsi="Calibri"/>
                <w:sz w:val="22"/>
                <w:szCs w:val="22"/>
              </w:rPr>
              <w:t>Dr. Ulrich Kröger</w:t>
            </w:r>
          </w:p>
        </w:tc>
      </w:tr>
      <w:tr w:rsidR="003D2760" w:rsidRPr="00450FAA" w:rsidTr="003D2760">
        <w:tc>
          <w:tcPr>
            <w:tcW w:w="3618" w:type="dxa"/>
            <w:tcBorders>
              <w:top w:val="nil"/>
              <w:left w:val="single" w:sz="2" w:space="0" w:color="000000"/>
              <w:bottom w:val="single" w:sz="2" w:space="0" w:color="000000"/>
              <w:right w:val="nil"/>
            </w:tcBorders>
            <w:tcMar>
              <w:top w:w="55" w:type="dxa"/>
              <w:left w:w="55" w:type="dxa"/>
              <w:bottom w:w="55" w:type="dxa"/>
              <w:right w:w="55" w:type="dxa"/>
            </w:tcMar>
            <w:hideMark/>
          </w:tcPr>
          <w:p w:rsidR="003D2760" w:rsidRPr="00450FAA" w:rsidRDefault="003D2760">
            <w:pPr>
              <w:pStyle w:val="TableContents"/>
              <w:rPr>
                <w:sz w:val="22"/>
                <w:szCs w:val="22"/>
              </w:rPr>
            </w:pPr>
            <w:r w:rsidRPr="00450FAA">
              <w:rPr>
                <w:rFonts w:ascii="Calibri" w:hAnsi="Calibri"/>
                <w:sz w:val="22"/>
                <w:szCs w:val="22"/>
              </w:rPr>
              <w:t xml:space="preserve">2. </w:t>
            </w:r>
            <w:r w:rsidRPr="00450FAA">
              <w:rPr>
                <w:rFonts w:ascii="Calibri" w:hAnsi="Calibri" w:cs="Arial"/>
                <w:sz w:val="22"/>
                <w:szCs w:val="22"/>
              </w:rPr>
              <w:t>Kontaktdaten eines evtl. Datenschutzbeauftragten</w:t>
            </w:r>
          </w:p>
        </w:tc>
        <w:tc>
          <w:tcPr>
            <w:tcW w:w="60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D2760" w:rsidRPr="00450FAA" w:rsidRDefault="003D2760">
            <w:pPr>
              <w:pStyle w:val="TableContents"/>
              <w:rPr>
                <w:rFonts w:ascii="Calibri" w:hAnsi="Calibri"/>
                <w:sz w:val="22"/>
                <w:szCs w:val="22"/>
              </w:rPr>
            </w:pPr>
            <w:r w:rsidRPr="00450FAA">
              <w:rPr>
                <w:rFonts w:ascii="Calibri" w:hAnsi="Calibri"/>
                <w:sz w:val="22"/>
                <w:szCs w:val="22"/>
              </w:rPr>
              <w:t>Kein Datenschutzbeauftragter erforderlich</w:t>
            </w:r>
          </w:p>
        </w:tc>
      </w:tr>
      <w:tr w:rsidR="003D2760" w:rsidRPr="00450FAA" w:rsidTr="003D2760">
        <w:tc>
          <w:tcPr>
            <w:tcW w:w="3618" w:type="dxa"/>
            <w:tcBorders>
              <w:top w:val="nil"/>
              <w:left w:val="single" w:sz="2" w:space="0" w:color="000000"/>
              <w:bottom w:val="single" w:sz="2" w:space="0" w:color="000000"/>
              <w:right w:val="nil"/>
            </w:tcBorders>
            <w:tcMar>
              <w:top w:w="55" w:type="dxa"/>
              <w:left w:w="55" w:type="dxa"/>
              <w:bottom w:w="55" w:type="dxa"/>
              <w:right w:w="55" w:type="dxa"/>
            </w:tcMar>
            <w:hideMark/>
          </w:tcPr>
          <w:p w:rsidR="003D2760" w:rsidRPr="00450FAA" w:rsidRDefault="003D2760">
            <w:pPr>
              <w:pStyle w:val="TableContents"/>
              <w:rPr>
                <w:sz w:val="22"/>
                <w:szCs w:val="22"/>
              </w:rPr>
            </w:pPr>
            <w:r w:rsidRPr="00450FAA">
              <w:rPr>
                <w:rFonts w:ascii="Calibri" w:hAnsi="Calibri"/>
                <w:sz w:val="22"/>
                <w:szCs w:val="22"/>
              </w:rPr>
              <w:t xml:space="preserve">3. </w:t>
            </w:r>
            <w:r w:rsidRPr="00450FAA">
              <w:rPr>
                <w:rFonts w:ascii="Calibri" w:hAnsi="Calibri" w:cs="Arial"/>
                <w:sz w:val="22"/>
                <w:szCs w:val="22"/>
              </w:rPr>
              <w:t>Zwecke, für die die personenbezogenen Daten verarbeitet werden sollen</w:t>
            </w:r>
          </w:p>
        </w:tc>
        <w:tc>
          <w:tcPr>
            <w:tcW w:w="60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D2760" w:rsidRPr="00450FAA" w:rsidRDefault="003D2760">
            <w:pPr>
              <w:pStyle w:val="TableContents"/>
              <w:rPr>
                <w:rFonts w:ascii="Calibri" w:hAnsi="Calibri"/>
                <w:sz w:val="22"/>
                <w:szCs w:val="22"/>
              </w:rPr>
            </w:pPr>
            <w:r w:rsidRPr="00450FAA">
              <w:rPr>
                <w:rFonts w:ascii="Calibri" w:hAnsi="Calibri"/>
                <w:sz w:val="22"/>
                <w:szCs w:val="22"/>
              </w:rPr>
              <w:t>Durchführung und Verwaltung der zahnärztlichen Beratung und Behandlung, Abrechnung von GKV-Leistungen mit Stellen nach dem SGB V (insbesondere der KZVWL), Abrechnung von Privatleistungen, externe Abrechnung über Dienstleister, Erteilung erforderlicher Auskünfte</w:t>
            </w:r>
          </w:p>
        </w:tc>
      </w:tr>
      <w:tr w:rsidR="003D2760" w:rsidRPr="00450FAA" w:rsidTr="003D2760">
        <w:tc>
          <w:tcPr>
            <w:tcW w:w="3618" w:type="dxa"/>
            <w:tcBorders>
              <w:top w:val="nil"/>
              <w:left w:val="single" w:sz="2" w:space="0" w:color="000000"/>
              <w:bottom w:val="single" w:sz="2" w:space="0" w:color="000000"/>
              <w:right w:val="nil"/>
            </w:tcBorders>
            <w:tcMar>
              <w:top w:w="55" w:type="dxa"/>
              <w:left w:w="55" w:type="dxa"/>
              <w:bottom w:w="55" w:type="dxa"/>
              <w:right w:w="55" w:type="dxa"/>
            </w:tcMar>
            <w:hideMark/>
          </w:tcPr>
          <w:p w:rsidR="003D2760" w:rsidRPr="00450FAA" w:rsidRDefault="003D2760">
            <w:pPr>
              <w:pStyle w:val="TableContents"/>
              <w:rPr>
                <w:sz w:val="22"/>
                <w:szCs w:val="22"/>
              </w:rPr>
            </w:pPr>
            <w:r w:rsidRPr="00450FAA">
              <w:rPr>
                <w:rFonts w:ascii="Calibri" w:hAnsi="Calibri"/>
                <w:sz w:val="22"/>
                <w:szCs w:val="22"/>
              </w:rPr>
              <w:t xml:space="preserve">4. </w:t>
            </w:r>
            <w:r w:rsidRPr="00450FAA">
              <w:rPr>
                <w:rFonts w:ascii="Calibri" w:hAnsi="Calibri" w:cs="Arial"/>
                <w:sz w:val="22"/>
                <w:szCs w:val="22"/>
              </w:rPr>
              <w:t>Rechtsgrundlagen der Datenverarbeitung</w:t>
            </w:r>
          </w:p>
        </w:tc>
        <w:tc>
          <w:tcPr>
            <w:tcW w:w="60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D2760" w:rsidRPr="00450FAA" w:rsidRDefault="003D2760">
            <w:pPr>
              <w:pStyle w:val="TableContents"/>
              <w:rPr>
                <w:rFonts w:ascii="Calibri" w:hAnsi="Calibri"/>
                <w:sz w:val="22"/>
                <w:szCs w:val="22"/>
              </w:rPr>
            </w:pPr>
            <w:r w:rsidRPr="00450FAA">
              <w:rPr>
                <w:rFonts w:ascii="Calibri" w:hAnsi="Calibri"/>
                <w:sz w:val="22"/>
                <w:szCs w:val="22"/>
              </w:rPr>
              <w:t>Behandlungsvertrag; Pflicht zum Führen einer  Behandlungsdokumentation (§ 630f Abs. 1 BGB); bei GKV-Patienten auch gesetzliche Pflicht zur Erbringung der vertragszahnärztlichen Leistungen (§ 95 SGB V); bei externer Abrechnung Einwilligung des Betroffenen; bei Auskunftserteilung gesetzliche Pflichten oder Einwilligung des Betroffenen.</w:t>
            </w:r>
          </w:p>
        </w:tc>
      </w:tr>
      <w:tr w:rsidR="003D2760" w:rsidRPr="00450FAA" w:rsidTr="003D2760">
        <w:tc>
          <w:tcPr>
            <w:tcW w:w="3618" w:type="dxa"/>
            <w:tcBorders>
              <w:top w:val="nil"/>
              <w:left w:val="single" w:sz="2" w:space="0" w:color="000000"/>
              <w:bottom w:val="single" w:sz="2" w:space="0" w:color="000000"/>
              <w:right w:val="nil"/>
            </w:tcBorders>
            <w:tcMar>
              <w:top w:w="55" w:type="dxa"/>
              <w:left w:w="55" w:type="dxa"/>
              <w:bottom w:w="55" w:type="dxa"/>
              <w:right w:w="55" w:type="dxa"/>
            </w:tcMar>
            <w:hideMark/>
          </w:tcPr>
          <w:p w:rsidR="003D2760" w:rsidRPr="00450FAA" w:rsidRDefault="003D2760">
            <w:pPr>
              <w:rPr>
                <w:rFonts w:ascii="Calibri" w:hAnsi="Calibri" w:cs="Arial"/>
                <w:sz w:val="22"/>
                <w:szCs w:val="22"/>
              </w:rPr>
            </w:pPr>
            <w:r w:rsidRPr="00450FAA">
              <w:rPr>
                <w:rFonts w:ascii="Calibri" w:hAnsi="Calibri" w:cs="Arial"/>
                <w:sz w:val="22"/>
                <w:szCs w:val="22"/>
              </w:rPr>
              <w:t>5. Empfänger / Kategorien von Empfängern</w:t>
            </w:r>
          </w:p>
        </w:tc>
        <w:tc>
          <w:tcPr>
            <w:tcW w:w="60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D2760" w:rsidRPr="00450FAA" w:rsidRDefault="003D2760">
            <w:pPr>
              <w:rPr>
                <w:sz w:val="22"/>
                <w:szCs w:val="22"/>
              </w:rPr>
            </w:pPr>
            <w:r w:rsidRPr="00450FAA">
              <w:rPr>
                <w:rFonts w:ascii="Calibri" w:hAnsi="Calibri" w:cs="Arial"/>
                <w:sz w:val="22"/>
                <w:szCs w:val="22"/>
              </w:rPr>
              <w:t>Zahntechnisches Labor, andere Heilberufsangehörige, gesetzliche oder beauftragte Abrechnungsstellen, Krankenkassen, Versicherungen oder Beihilfestellen, Behörden, Gerichte.</w:t>
            </w:r>
          </w:p>
        </w:tc>
      </w:tr>
      <w:tr w:rsidR="003D2760" w:rsidRPr="00450FAA" w:rsidTr="003D2760">
        <w:tc>
          <w:tcPr>
            <w:tcW w:w="3618" w:type="dxa"/>
            <w:tcBorders>
              <w:top w:val="nil"/>
              <w:left w:val="single" w:sz="2" w:space="0" w:color="000000"/>
              <w:bottom w:val="single" w:sz="2" w:space="0" w:color="000000"/>
              <w:right w:val="nil"/>
            </w:tcBorders>
            <w:tcMar>
              <w:top w:w="55" w:type="dxa"/>
              <w:left w:w="55" w:type="dxa"/>
              <w:bottom w:w="55" w:type="dxa"/>
              <w:right w:w="55" w:type="dxa"/>
            </w:tcMar>
            <w:hideMark/>
          </w:tcPr>
          <w:p w:rsidR="003D2760" w:rsidRPr="00450FAA" w:rsidRDefault="003D2760">
            <w:pPr>
              <w:pStyle w:val="TableContents"/>
              <w:rPr>
                <w:sz w:val="22"/>
                <w:szCs w:val="22"/>
              </w:rPr>
            </w:pPr>
            <w:r w:rsidRPr="00450FAA">
              <w:rPr>
                <w:rFonts w:ascii="Calibri" w:hAnsi="Calibri"/>
                <w:sz w:val="22"/>
                <w:szCs w:val="22"/>
              </w:rPr>
              <w:t xml:space="preserve">6. </w:t>
            </w:r>
            <w:r w:rsidRPr="00450FAA">
              <w:rPr>
                <w:rFonts w:ascii="Calibri" w:hAnsi="Calibri" w:cs="Arial"/>
                <w:sz w:val="22"/>
                <w:szCs w:val="22"/>
              </w:rPr>
              <w:t xml:space="preserve">Empfänger in einem Drittland/eine internationale Organisation (z.B. bei Nutzung von </w:t>
            </w:r>
            <w:proofErr w:type="spellStart"/>
            <w:r w:rsidRPr="00450FAA">
              <w:rPr>
                <w:rFonts w:ascii="Calibri" w:hAnsi="Calibri" w:cs="Arial"/>
                <w:sz w:val="22"/>
                <w:szCs w:val="22"/>
              </w:rPr>
              <w:t>Cloud</w:t>
            </w:r>
            <w:proofErr w:type="spellEnd"/>
            <w:r w:rsidRPr="00450FAA">
              <w:rPr>
                <w:rFonts w:ascii="Calibri" w:hAnsi="Calibri" w:cs="Arial"/>
                <w:sz w:val="22"/>
                <w:szCs w:val="22"/>
              </w:rPr>
              <w:t>-Diensten)</w:t>
            </w:r>
          </w:p>
        </w:tc>
        <w:tc>
          <w:tcPr>
            <w:tcW w:w="60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D2760" w:rsidRPr="00450FAA" w:rsidRDefault="003D2760">
            <w:pPr>
              <w:rPr>
                <w:rFonts w:ascii="Calibri" w:hAnsi="Calibri"/>
                <w:color w:val="000000"/>
                <w:sz w:val="22"/>
                <w:szCs w:val="22"/>
              </w:rPr>
            </w:pPr>
            <w:r w:rsidRPr="00450FAA">
              <w:rPr>
                <w:rFonts w:ascii="Calibri" w:hAnsi="Calibri"/>
                <w:color w:val="000000"/>
                <w:sz w:val="22"/>
                <w:szCs w:val="22"/>
              </w:rPr>
              <w:t>Eine Übermittlung in Drittländer oder internationale Organisationen ist nicht beabsichtigt.</w:t>
            </w:r>
          </w:p>
        </w:tc>
      </w:tr>
      <w:tr w:rsidR="003D2760" w:rsidRPr="00450FAA" w:rsidTr="003D2760">
        <w:tc>
          <w:tcPr>
            <w:tcW w:w="3618" w:type="dxa"/>
            <w:tcBorders>
              <w:top w:val="nil"/>
              <w:left w:val="single" w:sz="2" w:space="0" w:color="000000"/>
              <w:bottom w:val="single" w:sz="2" w:space="0" w:color="000000"/>
              <w:right w:val="nil"/>
            </w:tcBorders>
            <w:tcMar>
              <w:top w:w="55" w:type="dxa"/>
              <w:left w:w="55" w:type="dxa"/>
              <w:bottom w:w="55" w:type="dxa"/>
              <w:right w:w="55" w:type="dxa"/>
            </w:tcMar>
            <w:hideMark/>
          </w:tcPr>
          <w:p w:rsidR="003D2760" w:rsidRPr="00450FAA" w:rsidRDefault="003D2760">
            <w:pPr>
              <w:rPr>
                <w:rFonts w:ascii="Calibri" w:hAnsi="Calibri" w:cs="Arial"/>
                <w:sz w:val="22"/>
                <w:szCs w:val="22"/>
              </w:rPr>
            </w:pPr>
            <w:r w:rsidRPr="00450FAA">
              <w:rPr>
                <w:rFonts w:ascii="Calibri" w:hAnsi="Calibri" w:cs="Arial"/>
                <w:sz w:val="22"/>
                <w:szCs w:val="22"/>
              </w:rPr>
              <w:t>7. Dauer der Speicherung</w:t>
            </w:r>
          </w:p>
        </w:tc>
        <w:tc>
          <w:tcPr>
            <w:tcW w:w="60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D2760" w:rsidRPr="00450FAA" w:rsidRDefault="003D2760">
            <w:pPr>
              <w:rPr>
                <w:rFonts w:ascii="Calibri" w:hAnsi="Calibri" w:cs="Arial"/>
                <w:sz w:val="22"/>
                <w:szCs w:val="22"/>
              </w:rPr>
            </w:pPr>
            <w:r w:rsidRPr="00450FAA">
              <w:rPr>
                <w:rFonts w:ascii="Calibri" w:hAnsi="Calibri" w:cs="Arial"/>
                <w:sz w:val="22"/>
                <w:szCs w:val="22"/>
              </w:rPr>
              <w:t>Die Dauer der Speicherung richtet sich im Wesentlichen nach den gesetzlichen oder satzungsrechtlichen Aufbewahrungsfristen, insbesondere § 12 Abs. 1 Berufsordnung der ZÄKWL (10 Jahre), § 630 f Abs.3 BGB (10 Jahre), §§ 28 Abs. 3 RöV und 85 Abs. 3 StrlSchV (mindestens 10 Jahre).</w:t>
            </w:r>
          </w:p>
        </w:tc>
      </w:tr>
      <w:tr w:rsidR="003D2760" w:rsidRPr="00450FAA" w:rsidTr="003D2760">
        <w:tc>
          <w:tcPr>
            <w:tcW w:w="3618" w:type="dxa"/>
            <w:tcBorders>
              <w:top w:val="nil"/>
              <w:left w:val="single" w:sz="2" w:space="0" w:color="000000"/>
              <w:bottom w:val="single" w:sz="2" w:space="0" w:color="000000"/>
              <w:right w:val="nil"/>
            </w:tcBorders>
            <w:tcMar>
              <w:top w:w="55" w:type="dxa"/>
              <w:left w:w="55" w:type="dxa"/>
              <w:bottom w:w="55" w:type="dxa"/>
              <w:right w:w="55" w:type="dxa"/>
            </w:tcMar>
            <w:hideMark/>
          </w:tcPr>
          <w:p w:rsidR="003D2760" w:rsidRPr="00450FAA" w:rsidRDefault="003D2760">
            <w:pPr>
              <w:rPr>
                <w:rFonts w:ascii="Calibri" w:hAnsi="Calibri" w:cs="Arial"/>
                <w:sz w:val="22"/>
                <w:szCs w:val="22"/>
              </w:rPr>
            </w:pPr>
            <w:r w:rsidRPr="00450FAA">
              <w:rPr>
                <w:rFonts w:ascii="Calibri" w:hAnsi="Calibri" w:cs="Arial"/>
                <w:sz w:val="22"/>
                <w:szCs w:val="22"/>
              </w:rPr>
              <w:t>8. Rechte der Betroffenen</w:t>
            </w:r>
          </w:p>
        </w:tc>
        <w:tc>
          <w:tcPr>
            <w:tcW w:w="6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D2760" w:rsidRPr="00450FAA" w:rsidRDefault="003D2760">
            <w:pPr>
              <w:pStyle w:val="TableContents"/>
              <w:rPr>
                <w:rFonts w:ascii="Calibri" w:hAnsi="Calibri"/>
                <w:sz w:val="22"/>
                <w:szCs w:val="22"/>
              </w:rPr>
            </w:pPr>
            <w:r w:rsidRPr="00450FAA">
              <w:rPr>
                <w:rFonts w:ascii="Calibri" w:hAnsi="Calibri"/>
                <w:sz w:val="22"/>
                <w:szCs w:val="22"/>
              </w:rPr>
              <w:t>Betroffene können folgende Ansprüche gegenüber dem o.g. Verantwortlichen geltend machen:</w:t>
            </w:r>
          </w:p>
          <w:p w:rsidR="003D2760" w:rsidRPr="00450FAA" w:rsidRDefault="003D2760">
            <w:pPr>
              <w:pStyle w:val="TableContents"/>
              <w:rPr>
                <w:rFonts w:ascii="Calibri" w:hAnsi="Calibri"/>
                <w:sz w:val="22"/>
                <w:szCs w:val="22"/>
              </w:rPr>
            </w:pPr>
          </w:p>
          <w:p w:rsidR="003D2760" w:rsidRPr="00450FAA" w:rsidRDefault="003D2760" w:rsidP="00490FB2">
            <w:pPr>
              <w:pStyle w:val="TableContents"/>
              <w:numPr>
                <w:ilvl w:val="0"/>
                <w:numId w:val="1"/>
              </w:numPr>
              <w:spacing w:after="113"/>
              <w:rPr>
                <w:rFonts w:ascii="Calibri" w:hAnsi="Calibri"/>
                <w:sz w:val="22"/>
                <w:szCs w:val="22"/>
              </w:rPr>
            </w:pPr>
            <w:r w:rsidRPr="00450FAA">
              <w:rPr>
                <w:rFonts w:ascii="Calibri" w:hAnsi="Calibri"/>
                <w:sz w:val="22"/>
                <w:szCs w:val="22"/>
              </w:rPr>
              <w:t>Auskünfte nach § 15 EU-DSGVO über die Datenverarbeitung einschließlich Auskünfte über die hier genannten, diesbezüglichen Rechte;</w:t>
            </w:r>
          </w:p>
          <w:p w:rsidR="003D2760" w:rsidRPr="00450FAA" w:rsidRDefault="003D2760" w:rsidP="00490FB2">
            <w:pPr>
              <w:pStyle w:val="TableContents"/>
              <w:numPr>
                <w:ilvl w:val="0"/>
                <w:numId w:val="1"/>
              </w:numPr>
              <w:spacing w:after="113"/>
              <w:rPr>
                <w:rFonts w:ascii="Calibri" w:hAnsi="Calibri"/>
                <w:sz w:val="22"/>
                <w:szCs w:val="22"/>
              </w:rPr>
            </w:pPr>
            <w:r w:rsidRPr="00450FAA">
              <w:rPr>
                <w:rFonts w:ascii="Calibri" w:hAnsi="Calibri"/>
                <w:sz w:val="22"/>
                <w:szCs w:val="22"/>
              </w:rPr>
              <w:t>Berichtigung oder Ergänzung von Daten nach Art. 16 EU-DSGVO, wobei Änderungen in der Behandlungsdokumentation als solche erkennbar bleiben müssen, siehe § 630f Abs. 1 BGB;</w:t>
            </w:r>
          </w:p>
          <w:p w:rsidR="003D2760" w:rsidRPr="00450FAA" w:rsidRDefault="003D2760" w:rsidP="00490FB2">
            <w:pPr>
              <w:pStyle w:val="TableContents"/>
              <w:numPr>
                <w:ilvl w:val="0"/>
                <w:numId w:val="1"/>
              </w:numPr>
              <w:spacing w:after="113"/>
              <w:rPr>
                <w:rFonts w:ascii="Calibri" w:hAnsi="Calibri"/>
                <w:sz w:val="22"/>
                <w:szCs w:val="22"/>
              </w:rPr>
            </w:pPr>
            <w:r w:rsidRPr="00450FAA">
              <w:rPr>
                <w:rFonts w:ascii="Calibri" w:hAnsi="Calibri"/>
                <w:sz w:val="22"/>
                <w:szCs w:val="22"/>
              </w:rPr>
              <w:t>Löschung oder Sperrung von Daten nach Art. 17 bzw. 18 EU-DSGVO, bei der Behandlungsdokumentation wegen der Aufbewahrungspflichten ist nur Sperrung möglich;</w:t>
            </w:r>
          </w:p>
          <w:p w:rsidR="003D2760" w:rsidRPr="00450FAA" w:rsidRDefault="003D2760" w:rsidP="00490FB2">
            <w:pPr>
              <w:pStyle w:val="TableContents"/>
              <w:numPr>
                <w:ilvl w:val="0"/>
                <w:numId w:val="1"/>
              </w:numPr>
              <w:spacing w:after="113"/>
              <w:rPr>
                <w:sz w:val="22"/>
                <w:szCs w:val="22"/>
              </w:rPr>
            </w:pPr>
            <w:r w:rsidRPr="00450FAA">
              <w:rPr>
                <w:rFonts w:ascii="Calibri" w:hAnsi="Calibri"/>
                <w:sz w:val="22"/>
                <w:szCs w:val="22"/>
              </w:rPr>
              <w:t xml:space="preserve">Widerspruchsrecht nach Art. 21 EU-DSGVO, wobei die Verarbeitung in der Praxis in der Regel </w:t>
            </w:r>
            <w:r w:rsidRPr="00450FAA">
              <w:rPr>
                <w:rFonts w:ascii="Calibri" w:hAnsi="Calibri"/>
                <w:sz w:val="22"/>
                <w:szCs w:val="22"/>
                <w:u w:val="single"/>
              </w:rPr>
              <w:t>nicht</w:t>
            </w:r>
            <w:r w:rsidRPr="00450FAA">
              <w:rPr>
                <w:rFonts w:ascii="Calibri" w:hAnsi="Calibri"/>
                <w:sz w:val="22"/>
                <w:szCs w:val="22"/>
              </w:rPr>
              <w:t xml:space="preserve"> auf der in der Vorschrift genannten Grundlage erfolgt;</w:t>
            </w:r>
          </w:p>
          <w:p w:rsidR="00450FAA" w:rsidRPr="00450FAA" w:rsidRDefault="00450FAA" w:rsidP="00450FAA">
            <w:pPr>
              <w:pStyle w:val="TableContents"/>
              <w:spacing w:after="113"/>
              <w:rPr>
                <w:sz w:val="22"/>
                <w:szCs w:val="22"/>
              </w:rPr>
            </w:pPr>
          </w:p>
          <w:p w:rsidR="003D2760" w:rsidRPr="00450FAA" w:rsidRDefault="003D2760" w:rsidP="00490FB2">
            <w:pPr>
              <w:pStyle w:val="TableContents"/>
              <w:numPr>
                <w:ilvl w:val="0"/>
                <w:numId w:val="1"/>
              </w:numPr>
              <w:spacing w:after="113"/>
              <w:rPr>
                <w:rFonts w:ascii="Calibri" w:hAnsi="Calibri"/>
                <w:sz w:val="22"/>
                <w:szCs w:val="22"/>
              </w:rPr>
            </w:pPr>
            <w:r w:rsidRPr="00450FAA">
              <w:rPr>
                <w:rFonts w:ascii="Calibri" w:hAnsi="Calibri"/>
                <w:sz w:val="22"/>
                <w:szCs w:val="22"/>
              </w:rPr>
              <w:lastRenderedPageBreak/>
              <w:t xml:space="preserve">Recht auf Datenübertragbarkeit nach Art. 20 EU-DSGVO, also auf Erhalt der Daten in </w:t>
            </w:r>
            <w:proofErr w:type="spellStart"/>
            <w:r w:rsidRPr="00450FAA">
              <w:rPr>
                <w:rFonts w:ascii="Calibri" w:hAnsi="Calibri"/>
                <w:sz w:val="22"/>
                <w:szCs w:val="22"/>
              </w:rPr>
              <w:t>maschinen</w:t>
            </w:r>
            <w:proofErr w:type="spellEnd"/>
            <w:r w:rsidRPr="00450FAA">
              <w:rPr>
                <w:rFonts w:ascii="Calibri" w:hAnsi="Calibri"/>
                <w:sz w:val="22"/>
                <w:szCs w:val="22"/>
              </w:rPr>
              <w:t>-lesbarem Format und auf Übermittlung an einen anderen Verantwortlichen.</w:t>
            </w:r>
          </w:p>
        </w:tc>
      </w:tr>
      <w:tr w:rsidR="003D2760" w:rsidRPr="00450FAA" w:rsidTr="003D2760">
        <w:tc>
          <w:tcPr>
            <w:tcW w:w="3618" w:type="dxa"/>
            <w:tcBorders>
              <w:top w:val="nil"/>
              <w:left w:val="single" w:sz="2" w:space="0" w:color="000000"/>
              <w:bottom w:val="single" w:sz="2" w:space="0" w:color="000000"/>
              <w:right w:val="nil"/>
            </w:tcBorders>
            <w:tcMar>
              <w:top w:w="55" w:type="dxa"/>
              <w:left w:w="55" w:type="dxa"/>
              <w:bottom w:w="55" w:type="dxa"/>
              <w:right w:w="55" w:type="dxa"/>
            </w:tcMar>
            <w:hideMark/>
          </w:tcPr>
          <w:p w:rsidR="003D2760" w:rsidRPr="00450FAA" w:rsidRDefault="003D2760">
            <w:pPr>
              <w:rPr>
                <w:rFonts w:ascii="Calibri" w:hAnsi="Calibri" w:cs="Arial"/>
                <w:sz w:val="22"/>
                <w:szCs w:val="22"/>
              </w:rPr>
            </w:pPr>
            <w:r w:rsidRPr="00450FAA">
              <w:rPr>
                <w:rFonts w:ascii="Calibri" w:hAnsi="Calibri" w:cs="Arial"/>
                <w:sz w:val="22"/>
                <w:szCs w:val="22"/>
              </w:rPr>
              <w:lastRenderedPageBreak/>
              <w:t>9. Recht auf Widerruf einer Einwilligung</w:t>
            </w:r>
          </w:p>
        </w:tc>
        <w:tc>
          <w:tcPr>
            <w:tcW w:w="60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D2760" w:rsidRPr="00450FAA" w:rsidRDefault="003D2760">
            <w:pPr>
              <w:pStyle w:val="TableContents"/>
              <w:rPr>
                <w:rFonts w:ascii="Calibri" w:hAnsi="Calibri"/>
                <w:sz w:val="22"/>
                <w:szCs w:val="22"/>
              </w:rPr>
            </w:pPr>
            <w:r w:rsidRPr="00450FAA">
              <w:rPr>
                <w:rFonts w:ascii="Calibri" w:hAnsi="Calibri"/>
                <w:sz w:val="22"/>
                <w:szCs w:val="22"/>
              </w:rPr>
              <w:t>Soweit die Verarbeitung der Daten nicht auf vertraglicher oder gesetzlicher Grundlage, sondern einer Einwilligung des Betroffenen erfolgt, kann diese jederzeit durch formlose Erklärung gegenüber dem Verantwortlichen mit Wirkung für die Zukunft widerrufen werden.</w:t>
            </w:r>
          </w:p>
        </w:tc>
      </w:tr>
      <w:tr w:rsidR="003D2760" w:rsidRPr="00450FAA" w:rsidTr="003D2760">
        <w:tc>
          <w:tcPr>
            <w:tcW w:w="3618" w:type="dxa"/>
            <w:tcBorders>
              <w:top w:val="nil"/>
              <w:left w:val="single" w:sz="2" w:space="0" w:color="000000"/>
              <w:bottom w:val="single" w:sz="2" w:space="0" w:color="000000"/>
              <w:right w:val="nil"/>
            </w:tcBorders>
            <w:tcMar>
              <w:top w:w="55" w:type="dxa"/>
              <w:left w:w="55" w:type="dxa"/>
              <w:bottom w:w="55" w:type="dxa"/>
              <w:right w:w="55" w:type="dxa"/>
            </w:tcMar>
            <w:hideMark/>
          </w:tcPr>
          <w:p w:rsidR="003D2760" w:rsidRPr="00450FAA" w:rsidRDefault="003D2760">
            <w:pPr>
              <w:rPr>
                <w:rFonts w:ascii="Calibri" w:hAnsi="Calibri" w:cs="Arial"/>
                <w:sz w:val="22"/>
                <w:szCs w:val="22"/>
              </w:rPr>
            </w:pPr>
            <w:r w:rsidRPr="00450FAA">
              <w:rPr>
                <w:rFonts w:ascii="Calibri" w:hAnsi="Calibri" w:cs="Arial"/>
                <w:sz w:val="22"/>
                <w:szCs w:val="22"/>
              </w:rPr>
              <w:t>10. Recht auf Beschwerde bei einer Datenschutzbehörde</w:t>
            </w:r>
          </w:p>
        </w:tc>
        <w:tc>
          <w:tcPr>
            <w:tcW w:w="60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D2760" w:rsidRPr="00450FAA" w:rsidRDefault="003D2760">
            <w:pPr>
              <w:pStyle w:val="Default"/>
              <w:rPr>
                <w:rFonts w:ascii="Calibri" w:hAnsi="Calibri"/>
                <w:sz w:val="22"/>
                <w:szCs w:val="22"/>
              </w:rPr>
            </w:pPr>
            <w:r w:rsidRPr="00450FAA">
              <w:rPr>
                <w:rFonts w:ascii="Calibri" w:hAnsi="Calibri"/>
                <w:sz w:val="22"/>
                <w:szCs w:val="22"/>
              </w:rPr>
              <w:t>Jede von der Verarbeitung betroffene Person hat nach Art. 77 EU-DSGVO das Recht auf Beschwerde bei einer Aufsichtsbehörde, wenn sie der Ansicht ist, dass die Verarbeitung gegen das Datenschutzrecht verstößt; für NRW: Landesbeauftragte für Datenschutz und Informationsfreiheit NRW, Postfach 200444, 40102 Düsseldorf.</w:t>
            </w:r>
          </w:p>
        </w:tc>
      </w:tr>
      <w:tr w:rsidR="003D2760" w:rsidRPr="00450FAA" w:rsidTr="003D2760">
        <w:tc>
          <w:tcPr>
            <w:tcW w:w="3618" w:type="dxa"/>
            <w:tcBorders>
              <w:top w:val="nil"/>
              <w:left w:val="single" w:sz="2" w:space="0" w:color="000000"/>
              <w:bottom w:val="single" w:sz="2" w:space="0" w:color="000000"/>
              <w:right w:val="nil"/>
            </w:tcBorders>
            <w:tcMar>
              <w:top w:w="55" w:type="dxa"/>
              <w:left w:w="55" w:type="dxa"/>
              <w:bottom w:w="55" w:type="dxa"/>
              <w:right w:w="55" w:type="dxa"/>
            </w:tcMar>
            <w:hideMark/>
          </w:tcPr>
          <w:p w:rsidR="003D2760" w:rsidRPr="00450FAA" w:rsidRDefault="003D2760">
            <w:pPr>
              <w:rPr>
                <w:sz w:val="22"/>
                <w:szCs w:val="22"/>
              </w:rPr>
            </w:pPr>
            <w:r w:rsidRPr="00450FAA">
              <w:rPr>
                <w:rFonts w:ascii="Calibri" w:hAnsi="Calibri" w:cs="Arial"/>
                <w:sz w:val="22"/>
                <w:szCs w:val="22"/>
              </w:rPr>
              <w:t xml:space="preserve">11. [nur bei </w:t>
            </w:r>
            <w:r w:rsidRPr="00450FAA">
              <w:rPr>
                <w:rFonts w:ascii="Calibri" w:hAnsi="Calibri" w:cs="Arial"/>
                <w:sz w:val="22"/>
                <w:szCs w:val="22"/>
                <w:u w:val="single"/>
              </w:rPr>
              <w:t>Dritterhebung</w:t>
            </w:r>
            <w:r w:rsidRPr="00450FAA">
              <w:rPr>
                <w:rFonts w:ascii="Calibri" w:hAnsi="Calibri" w:cs="Arial"/>
                <w:sz w:val="22"/>
                <w:szCs w:val="22"/>
              </w:rPr>
              <w:t xml:space="preserve"> nach Art. 14 EU-DSGVO] Quelle / öffentliche Quelle, aus der die Daten stammen</w:t>
            </w:r>
          </w:p>
        </w:tc>
        <w:tc>
          <w:tcPr>
            <w:tcW w:w="60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D2760" w:rsidRPr="00450FAA" w:rsidRDefault="003D2760" w:rsidP="00450FAA">
            <w:pPr>
              <w:pStyle w:val="TableContents"/>
              <w:rPr>
                <w:rFonts w:ascii="Calibri" w:hAnsi="Calibri"/>
                <w:sz w:val="22"/>
                <w:szCs w:val="22"/>
              </w:rPr>
            </w:pPr>
            <w:r w:rsidRPr="00450FAA">
              <w:rPr>
                <w:rFonts w:ascii="Calibri" w:hAnsi="Calibri"/>
                <w:sz w:val="22"/>
                <w:szCs w:val="22"/>
              </w:rPr>
              <w:t>Die Daten fordern wir von</w:t>
            </w:r>
            <w:r w:rsidR="00450FAA" w:rsidRPr="00450FAA">
              <w:rPr>
                <w:rFonts w:ascii="Calibri" w:hAnsi="Calibri"/>
                <w:sz w:val="22"/>
                <w:szCs w:val="22"/>
              </w:rPr>
              <w:t xml:space="preserve"> z. B. anderen Praxen an</w:t>
            </w:r>
          </w:p>
        </w:tc>
      </w:tr>
      <w:tr w:rsidR="003D2760" w:rsidRPr="00450FAA" w:rsidTr="003D2760">
        <w:tc>
          <w:tcPr>
            <w:tcW w:w="3618" w:type="dxa"/>
            <w:tcBorders>
              <w:top w:val="nil"/>
              <w:left w:val="single" w:sz="2" w:space="0" w:color="000000"/>
              <w:bottom w:val="single" w:sz="2" w:space="0" w:color="000000"/>
              <w:right w:val="nil"/>
            </w:tcBorders>
            <w:tcMar>
              <w:top w:w="55" w:type="dxa"/>
              <w:left w:w="55" w:type="dxa"/>
              <w:bottom w:w="55" w:type="dxa"/>
              <w:right w:w="55" w:type="dxa"/>
            </w:tcMar>
            <w:hideMark/>
          </w:tcPr>
          <w:p w:rsidR="003D2760" w:rsidRPr="00450FAA" w:rsidRDefault="003D2760">
            <w:pPr>
              <w:rPr>
                <w:rFonts w:ascii="Calibri" w:hAnsi="Calibri" w:cs="Arial"/>
                <w:color w:val="000000"/>
                <w:sz w:val="22"/>
                <w:szCs w:val="22"/>
              </w:rPr>
            </w:pPr>
            <w:r w:rsidRPr="00450FAA">
              <w:rPr>
                <w:rFonts w:ascii="Calibri" w:hAnsi="Calibri" w:cs="Arial"/>
                <w:color w:val="000000"/>
                <w:sz w:val="22"/>
                <w:szCs w:val="22"/>
              </w:rPr>
              <w:t>12. Gesetzliche oder vertragliche Verpflichtung, die Daten Dritten bereitzustellen und mögliche Folgen der Nichtbereitstellung</w:t>
            </w:r>
          </w:p>
        </w:tc>
        <w:tc>
          <w:tcPr>
            <w:tcW w:w="60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D2760" w:rsidRPr="00450FAA" w:rsidRDefault="003D2760">
            <w:pPr>
              <w:rPr>
                <w:rFonts w:ascii="Calibri" w:hAnsi="Calibri"/>
                <w:sz w:val="22"/>
                <w:szCs w:val="22"/>
              </w:rPr>
            </w:pPr>
            <w:r w:rsidRPr="00450FAA">
              <w:rPr>
                <w:rFonts w:ascii="Calibri" w:hAnsi="Calibri"/>
                <w:sz w:val="22"/>
                <w:szCs w:val="22"/>
              </w:rPr>
              <w:t>Berufsrechtlich (§ 12 Abs. 3 Berufsordnung ZÄKWL) besteht - soweit ein Einverständnis des Patienten vorliegt oder dies gesetzlich vorgeschrieben ist - die Pflicht, einem an der Behandlung beteiligten oder begutachtenden Zahnarzt oder Arzt die eigene Behandlungs-</w:t>
            </w:r>
            <w:proofErr w:type="spellStart"/>
            <w:r w:rsidRPr="00450FAA">
              <w:rPr>
                <w:rFonts w:ascii="Calibri" w:hAnsi="Calibri"/>
                <w:sz w:val="22"/>
                <w:szCs w:val="22"/>
              </w:rPr>
              <w:t>dokumentation</w:t>
            </w:r>
            <w:proofErr w:type="spellEnd"/>
            <w:r w:rsidRPr="00450FAA">
              <w:rPr>
                <w:rFonts w:ascii="Calibri" w:hAnsi="Calibri"/>
                <w:sz w:val="22"/>
                <w:szCs w:val="22"/>
              </w:rPr>
              <w:t xml:space="preserve"> </w:t>
            </w:r>
            <w:bookmarkStart w:id="0" w:name="_GoBack"/>
            <w:bookmarkEnd w:id="0"/>
            <w:r w:rsidRPr="00450FAA">
              <w:rPr>
                <w:rFonts w:ascii="Calibri" w:hAnsi="Calibri"/>
                <w:sz w:val="22"/>
                <w:szCs w:val="22"/>
              </w:rPr>
              <w:t xml:space="preserve">vorübergehend zu überlassen und ihn über die Behandlung zu informieren. Ähnliche Verpflichtungen können sich insbesondere aus dem Sozialrecht ergeben wie bei einer Wirtschaftlichkeits-/Abrechnungsprüfung oder im Rahmen der Aufgaben des Medizinischen Dienstes der Krankenkassen oder der Unfallversicherung. Pflichten zur Übermittlung von Daten bestehen zudem nach dem Infektionsschutzgesetz. Verstöße gegen diese Pflichten können </w:t>
            </w:r>
            <w:proofErr w:type="spellStart"/>
            <w:r w:rsidRPr="00450FAA">
              <w:rPr>
                <w:rFonts w:ascii="Calibri" w:hAnsi="Calibri"/>
                <w:sz w:val="22"/>
                <w:szCs w:val="22"/>
              </w:rPr>
              <w:t>berufs</w:t>
            </w:r>
            <w:proofErr w:type="spellEnd"/>
            <w:r w:rsidRPr="00450FAA">
              <w:rPr>
                <w:rFonts w:ascii="Calibri" w:hAnsi="Calibri"/>
                <w:sz w:val="22"/>
                <w:szCs w:val="22"/>
              </w:rPr>
              <w:t>- bzw. vertragszahnarztrechtlich sanktioniert werden oder sogar zu einem Verlust der zahnärztlichen Approbation wegen Unzuverlässigkeit führen.</w:t>
            </w:r>
          </w:p>
          <w:p w:rsidR="003D2760" w:rsidRPr="00450FAA" w:rsidRDefault="003D2760">
            <w:pPr>
              <w:rPr>
                <w:rFonts w:ascii="Calibri" w:hAnsi="Calibri"/>
                <w:sz w:val="22"/>
                <w:szCs w:val="22"/>
              </w:rPr>
            </w:pPr>
          </w:p>
          <w:p w:rsidR="003D2760" w:rsidRPr="00450FAA" w:rsidRDefault="003D2760">
            <w:pPr>
              <w:rPr>
                <w:rFonts w:ascii="Calibri" w:hAnsi="Calibri"/>
                <w:sz w:val="22"/>
                <w:szCs w:val="22"/>
              </w:rPr>
            </w:pPr>
            <w:r w:rsidRPr="00450FAA">
              <w:rPr>
                <w:rFonts w:ascii="Calibri" w:hAnsi="Calibri"/>
                <w:sz w:val="22"/>
                <w:szCs w:val="22"/>
              </w:rPr>
              <w:t>Vertragliche Verpflichtungen zur Datenweitergabe bestehen nicht [wohl allerdings womöglich z.B. bei Teilnahme an einem Selektivvertrag]</w:t>
            </w:r>
          </w:p>
        </w:tc>
      </w:tr>
    </w:tbl>
    <w:p w:rsidR="003D2760" w:rsidRPr="00450FAA" w:rsidRDefault="003D2760" w:rsidP="003D2760">
      <w:pPr>
        <w:spacing w:line="283" w:lineRule="exact"/>
        <w:jc w:val="both"/>
        <w:rPr>
          <w:rFonts w:ascii="Calibri" w:hAnsi="Calibri" w:cs="Arial"/>
          <w:color w:val="000000"/>
          <w:sz w:val="22"/>
          <w:szCs w:val="22"/>
        </w:rPr>
      </w:pPr>
    </w:p>
    <w:p w:rsidR="007529E0" w:rsidRPr="00450FAA" w:rsidRDefault="007529E0">
      <w:pPr>
        <w:rPr>
          <w:sz w:val="22"/>
          <w:szCs w:val="22"/>
        </w:rPr>
      </w:pPr>
    </w:p>
    <w:sectPr w:rsidR="007529E0" w:rsidRPr="00450FA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B7CBF"/>
    <w:multiLevelType w:val="hybridMultilevel"/>
    <w:tmpl w:val="9D404B74"/>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2760"/>
    <w:rsid w:val="002F43D4"/>
    <w:rsid w:val="003D2760"/>
    <w:rsid w:val="00450FAA"/>
    <w:rsid w:val="005C4F1A"/>
    <w:rsid w:val="006E0B43"/>
    <w:rsid w:val="007529E0"/>
    <w:rsid w:val="0095001E"/>
    <w:rsid w:val="00B126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760"/>
    <w:pPr>
      <w:widowControl w:val="0"/>
      <w:suppressAutoHyphens/>
      <w:autoSpaceDN w:val="0"/>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3D2760"/>
    <w:pPr>
      <w:suppressLineNumbers/>
    </w:pPr>
  </w:style>
  <w:style w:type="paragraph" w:customStyle="1" w:styleId="Default">
    <w:name w:val="Default"/>
    <w:rsid w:val="003D2760"/>
    <w:pPr>
      <w:suppressAutoHyphens/>
      <w:autoSpaceDN w:val="0"/>
    </w:pPr>
    <w:rPr>
      <w:rFonts w:eastAsia="SimSun" w:cs="Arial"/>
      <w:color w:val="000000"/>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906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DIOSZX\VORLAGEN\DIOSMAC.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DIOSMAC</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dopo</dc:creator>
  <cp:lastModifiedBy>dopo</cp:lastModifiedBy>
  <cp:revision>1</cp:revision>
  <cp:lastPrinted>2018-05-18T11:26:00Z</cp:lastPrinted>
  <dcterms:created xsi:type="dcterms:W3CDTF">2018-05-18T11:01:00Z</dcterms:created>
  <dcterms:modified xsi:type="dcterms:W3CDTF">2018-05-18T11:28:00Z</dcterms:modified>
</cp:coreProperties>
</file>